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Calibri" w:hAnsi="Calibri"/>
          <w:b w:val="1"/>
          <w:sz w:val="20"/>
        </w:rPr>
      </w:pPr>
      <w:r>
        <w:rPr>
          <w:rFonts w:ascii="Calibri" w:hAnsi="Calibri"/>
          <w:b w:val="1"/>
          <w:noProof w:val="1"/>
          <w:sz w:val="20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b w:val="1"/>
          <w:sz w:val="20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0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0"/>
        </w:rPr>
      </w:pPr>
      <w:r>
        <w:rPr>
          <w:rFonts w:ascii="Calibri" w:hAnsi="Calibri"/>
          <w:b w:val="1"/>
          <w:sz w:val="20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0"/>
        </w:rPr>
      </w:pPr>
      <w:r>
        <w:rPr>
          <w:rFonts w:ascii="Calibri" w:hAnsi="Calibri"/>
          <w:b w:val="1"/>
          <w:sz w:val="20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0"/>
        </w:rPr>
      </w:pPr>
      <w:r>
        <w:rPr>
          <w:rFonts w:ascii="Calibri" w:hAnsi="Calibri"/>
          <w:b w:val="1"/>
          <w:noProof w:val="1"/>
          <w:sz w:val="20"/>
        </w:rPr>
        <w:t>Općina</w:t>
      </w:r>
      <w:r>
        <w:rPr>
          <w:rFonts w:ascii="Calibri" w:hAnsi="Calibri"/>
          <w:b w:val="1"/>
          <w:noProof w:val="1"/>
          <w:sz w:val="20"/>
        </w:rPr>
        <w:t xml:space="preserve"> </w:t>
      </w:r>
      <w:r>
        <w:rPr>
          <w:rFonts w:ascii="Calibri" w:hAnsi="Calibri"/>
          <w:b w:val="1"/>
          <w:noProof w:val="1"/>
          <w:sz w:val="20"/>
        </w:rPr>
        <w:t>Hum</w:t>
      </w:r>
      <w:r>
        <w:rPr>
          <w:rFonts w:ascii="Calibri" w:hAnsi="Calibri"/>
          <w:b w:val="1"/>
          <w:noProof w:val="1"/>
          <w:sz w:val="20"/>
        </w:rPr>
        <w:t xml:space="preserve"> </w:t>
      </w:r>
      <w:r>
        <w:rPr>
          <w:rFonts w:ascii="Calibri" w:hAnsi="Calibri"/>
          <w:b w:val="1"/>
          <w:noProof w:val="1"/>
          <w:sz w:val="20"/>
        </w:rPr>
        <w:t>na</w:t>
      </w:r>
      <w:r>
        <w:rPr>
          <w:rFonts w:ascii="Calibri" w:hAnsi="Calibri"/>
          <w:b w:val="1"/>
          <w:sz w:val="20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0"/>
        </w:rPr>
      </w:pPr>
      <w:r>
        <w:rPr>
          <w:rFonts w:ascii="Calibri" w:hAnsi="Calibri"/>
          <w:b w:val="1"/>
          <w:noProof w:val="1"/>
          <w:color w:val="000000"/>
          <w:sz w:val="20"/>
        </w:rPr>
        <w:t>Općinski</w:t>
      </w:r>
      <w:r>
        <w:rPr>
          <w:rFonts w:ascii="Calibri" w:hAnsi="Calibri"/>
          <w:b w:val="1"/>
          <w:noProof w:val="1"/>
          <w:color w:val="000000"/>
          <w:sz w:val="20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0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0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0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KLASA: </w:t>
      </w:r>
      <w:r>
        <w:rPr>
          <w:rFonts w:ascii="Calibri" w:hAnsi="Calibri"/>
          <w:sz w:val="20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URBROJ: </w:t>
      </w:r>
      <w:r>
        <w:rPr>
          <w:rFonts w:ascii="Calibri" w:hAnsi="Calibri"/>
          <w:noProof w:val="1"/>
          <w:sz w:val="20"/>
        </w:rPr>
        <w:t>2140-14-01-24-19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0"/>
        </w:rPr>
      </w:pPr>
      <w:r>
        <w:rPr>
          <w:rFonts w:ascii="Calibri" w:hAnsi="Calibri"/>
          <w:noProof w:val="1"/>
          <w:sz w:val="20"/>
        </w:rPr>
        <w:t>Hum</w:t>
      </w:r>
      <w:r>
        <w:rPr>
          <w:rFonts w:ascii="Calibri" w:hAnsi="Calibri"/>
          <w:noProof w:val="1"/>
          <w:sz w:val="20"/>
        </w:rPr>
        <w:t xml:space="preserve"> </w:t>
      </w:r>
      <w:r>
        <w:rPr>
          <w:rFonts w:ascii="Calibri" w:hAnsi="Calibri"/>
          <w:noProof w:val="1"/>
          <w:sz w:val="20"/>
        </w:rPr>
        <w:t>na</w:t>
      </w:r>
      <w:r>
        <w:rPr>
          <w:rFonts w:ascii="Calibri" w:hAnsi="Calibri"/>
          <w:noProof w:val="1"/>
          <w:sz w:val="20"/>
        </w:rPr>
        <w:t xml:space="preserve"> </w:t>
      </w:r>
      <w:r>
        <w:rPr>
          <w:rFonts w:ascii="Calibri" w:hAnsi="Calibri"/>
          <w:noProof w:val="1"/>
          <w:sz w:val="20"/>
        </w:rPr>
        <w:t>Sutli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noProof w:val="1"/>
          <w:sz w:val="20"/>
        </w:rPr>
        <w:t>16</w:t>
      </w:r>
      <w:r>
        <w:rPr>
          <w:rFonts w:ascii="Calibri" w:hAnsi="Calibri"/>
          <w:noProof w:val="1"/>
          <w:sz w:val="20"/>
        </w:rPr>
        <w:t>.</w:t>
      </w:r>
      <w:r>
        <w:rPr>
          <w:rFonts w:ascii="Calibri" w:hAnsi="Calibri"/>
          <w:noProof w:val="1"/>
          <w:sz w:val="20"/>
        </w:rPr>
        <w:t xml:space="preserve"> </w:t>
      </w:r>
      <w:r>
        <w:rPr>
          <w:rFonts w:ascii="Calibri" w:hAnsi="Calibri"/>
          <w:noProof w:val="1"/>
          <w:sz w:val="20"/>
        </w:rPr>
        <w:t>prosinca</w:t>
      </w:r>
      <w:r>
        <w:rPr>
          <w:rFonts w:ascii="Calibri" w:hAnsi="Calibri"/>
          <w:noProof w:val="1"/>
          <w:sz w:val="20"/>
        </w:rPr>
        <w:t xml:space="preserve"> </w:t>
      </w:r>
      <w:r>
        <w:rPr>
          <w:rFonts w:ascii="Calibri" w:hAnsi="Calibri"/>
          <w:sz w:val="20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0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0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Temeljem Zakona o socijalnoj skrbi („Narodne novine“ br. 18/22, 46/22, 119/22, 71/23, 156/23), članka 2. Odluke o socijalnoj skrbi općine Hum na Sutli („Službeni glasnik Krapinsko-zagorske županije“ br. 17/12, 27/13, 51/22)  i članka 30. Statuta Općine Hum na Sutli («Službeni glasnik Krapinsko-zagorske županije» br. 9/21), općinsko vijeće  Općine Hum na Sutli na sjednici održanoj dana 16. prosinca 2024. godine donijelo je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</w:p>
    <w:p>
      <w:pPr>
        <w:jc w:val="center"/>
        <w:spacing w:lineRule="auto" w:line="240" w:after="0" w:beforeAutospacing="0" w:afterAutospacing="0"/>
        <w:ind w:firstLine="708"/>
        <w:pStyle w:val="P0"/>
        <w:rPr>
          <w:rFonts w:ascii="Calibri" w:hAnsi="Calibri"/>
          <w:sz w:val="20"/>
        </w:rPr>
      </w:pPr>
      <w:r>
        <w:rPr>
          <w:rFonts w:ascii="Calibri" w:hAnsi="Calibri"/>
          <w:b w:val="1"/>
          <w:sz w:val="20"/>
        </w:rPr>
        <w:t xml:space="preserve">SOCIJALNI PROGRAM</w:t>
      </w:r>
    </w:p>
    <w:p>
      <w:pPr>
        <w:jc w:val="center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Općine Hum na Sutli za 2025. godinu</w:t>
      </w:r>
    </w:p>
    <w:p>
      <w:pPr>
        <w:jc w:val="center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Socijalnim programom općine Hum na Sutli za 2025. godinu određuje se financiranje javnih potreba u socijalnoj skrbi.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Socijalnim programom Općine Hum na Sutli obuhvaćeno je financiranje: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15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Konto</w:t>
            </w:r>
          </w:p>
        </w:tc>
        <w:tc>
          <w:tcPr>
            <w:tcW w:w="15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>Opis</w:t>
            </w:r>
          </w:p>
        </w:tc>
        <w:tc>
          <w:tcPr>
            <w:tcW w:w="197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 xml:space="preserve">Plan 2025. (€)</w:t>
            </w:r>
          </w:p>
        </w:tc>
        <w:tc>
          <w:tcPr>
            <w:tcW w:w="1842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 xml:space="preserve">Projekcija 2026. (€)</w:t>
            </w:r>
          </w:p>
        </w:tc>
        <w:tc>
          <w:tcPr>
            <w:tcW w:w="198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16"/>
              </w:rPr>
              <w:t xml:space="preserve">Projekcija 2027. (€)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vanish w:val="1"/>
          <w:sz w:val="16"/>
        </w:rPr>
        <w:t xml:space="preserve"> </w:t>
      </w:r>
    </w:p>
    <w:tbl>
      <w:tblPr>
        <w:tblStyle w:val="T0"/>
        <w:tblInd w:w="0" w:type="dxa"/>
        <w:tblLayout w:type="fixed"/>
        <w:tblW w:w="8938" w:type="dxa"/>
      </w:tblPr>
      <w:tblGrid/>
      <w:tr>
        <w:tc>
          <w:tcPr>
            <w:tcW w:w="6204" w:type="dxa"/>
            <w:gridSpan w:val="5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Aktivnosti A 100001 ZBRINJAVANJE SOCIJALNO UGROŽENIH </w:t>
            </w:r>
          </w:p>
        </w:tc>
        <w:tc>
          <w:tcPr>
            <w:tcW w:w="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3090" w:type="dxa"/>
            <w:gridSpan w:val="2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IZVOR 11. OPĆI PRIHODI I PRIMICI </w:t>
            </w:r>
          </w:p>
        </w:tc>
        <w:tc>
          <w:tcPr>
            <w:tcW w:w="1985" w:type="dxa"/>
            <w:tcBorders>
              <w:top w:val="nil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372121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Pomoć socijalno ugroženim u novcu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4.000,00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4.000,00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4.000,00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37223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Stanovanje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2.000,00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2.000,00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372124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Pogrebni troškovi socijalno ugroženih osoba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1.000,00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1.000,00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372190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Ostale socijalne potpore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10.000,00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10.000,00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10.000,00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372242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Prehrana, odjeća i obuća socijalno ugroženim osobama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6.500,00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6.500,00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6.500,00</w:t>
            </w:r>
          </w:p>
        </w:tc>
      </w:tr>
      <w:tr>
        <w:tc>
          <w:tcPr>
            <w:tcW w:w="3090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IZVOR 11. OPĆI PRIHODI I PRIMICI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372123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Pomoć novorođenim Humčankama i Humčanima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27.000,00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27.000,00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27.000,00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372128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Pomoć elementarno ugroženim osobama-elementarne nepogode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6.000,00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6.000,00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6.000,00</w:t>
            </w:r>
          </w:p>
        </w:tc>
      </w:tr>
      <w:tr>
        <w:tc>
          <w:tcPr>
            <w:tcW w:w="6065" w:type="dxa"/>
            <w:gridSpan w:val="4"/>
            <w:tcBorders>
              <w:left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Aktivnosti A 100003 STIPENDIJE I PRIJEVOZ UČENIKA</w:t>
            </w:r>
          </w:p>
        </w:tc>
        <w:tc>
          <w:tcPr>
            <w:tcW w:w="5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93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3090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IZVOR 11. OPĆI PRIHODI I PRIMICI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37215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Stipendije, nagrade učenicima i studentima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50.000,00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50.000,00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50.000,00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37221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Sufinanciranje cijene prijevoza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28.000,00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28.000,00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28.000,00</w:t>
            </w:r>
          </w:p>
        </w:tc>
      </w:tr>
      <w:tr>
        <w:tc>
          <w:tcPr>
            <w:tcW w:w="3090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IZVOR 11. OPĆI PRIHODI I PRIMICI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372291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Pokloni djeci za Božić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11.000,00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12.000,00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12.000,00</w:t>
            </w:r>
          </w:p>
        </w:tc>
      </w:tr>
      <w:tr>
        <w:tc>
          <w:tcPr>
            <w:tcW w:w="7915" w:type="dxa"/>
            <w:gridSpan w:val="9"/>
            <w:tcBorders>
              <w:left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Aktivnosti A 100005 JEDNOKRATNE POMOĆI UMIROVLJENICIMA -BOŽIĆNICA</w:t>
            </w:r>
          </w:p>
        </w:tc>
        <w:tc>
          <w:tcPr>
            <w:tcW w:w="2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45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3090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IZVOR 11. OPĆI PRIHODI I PRIMICI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372294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Poklon umirovljenicima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15.000,00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15.000,00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15.000,00</w:t>
            </w:r>
          </w:p>
        </w:tc>
      </w:tr>
      <w:tr>
        <w:tc>
          <w:tcPr>
            <w:tcW w:w="7915" w:type="dxa"/>
            <w:gridSpan w:val="9"/>
            <w:tcBorders>
              <w:left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Aktivnosti A 100007 SUFINANCIRANJE NABAVKE UDŽBENIKA/RADNH BILJEŽNICA </w:t>
            </w:r>
          </w:p>
        </w:tc>
        <w:tc>
          <w:tcPr>
            <w:tcW w:w="2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45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3090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IZVOR 11. OPĆI PRIHODI I PRIMICI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  <w:shd w:val="clear" w:color="auto" w:fill="ffff00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37229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Ostale naknade iz proračuna u naravi – sufinanciranje nabavke radnih bilježnica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11.100,00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11.100,00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11.100,00</w:t>
            </w:r>
          </w:p>
        </w:tc>
      </w:tr>
      <w:tr>
        <w:tc>
          <w:tcPr>
            <w:tcW w:w="8050" w:type="dxa"/>
            <w:gridSpan w:val="10"/>
            <w:tcBorders>
              <w:left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Aktivnosti A 100007 SUFINANCIRANJE NABAVKE UDŽBENIKA/RADNH BILJEŽNICA</w:t>
            </w:r>
          </w:p>
        </w:tc>
        <w:tc>
          <w:tcPr>
            <w:tcW w:w="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32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</w:tr>
      <w:tr>
        <w:tc>
          <w:tcPr>
            <w:tcW w:w="3090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IZVOR 43. PRIHODI ZA POSEBNE NAMJENE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37229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Ostale naknade iz proračuna u naravi – sufinanciranje nabavke radnih bilježnica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11.100,00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1.100,00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11.100,00</w:t>
            </w:r>
          </w:p>
        </w:tc>
      </w:tr>
      <w:tr>
        <w:tc>
          <w:tcPr>
            <w:tcW w:w="8050" w:type="dxa"/>
            <w:gridSpan w:val="10"/>
            <w:tcBorders>
              <w:left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Aktivnosti A 100009 MJERA ZA POMOĆ PRI RJEŠAVANJU STAMBENOG PITANJA</w:t>
            </w:r>
          </w:p>
        </w:tc>
        <w:tc>
          <w:tcPr>
            <w:tcW w:w="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32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</w:tr>
      <w:tr>
        <w:tc>
          <w:tcPr>
            <w:tcW w:w="3090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IZVOR 11. OPĆI PRIHODI I PRIMICI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372126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Pomoć obiteljima i kućanstvima – mjere za pomoć pri rješavanju stambenog pitanja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80.000,00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80.000,00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80.000,00</w:t>
            </w:r>
          </w:p>
        </w:tc>
      </w:tr>
      <w:tr>
        <w:tc>
          <w:tcPr>
            <w:tcW w:w="8050" w:type="dxa"/>
            <w:gridSpan w:val="10"/>
            <w:tcBorders>
              <w:left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Aktivnosti A 100010 MJERA ZA POMOĆ PRI RJEŠAVANJU STAMBENOG PITANJA</w:t>
            </w:r>
          </w:p>
        </w:tc>
        <w:tc>
          <w:tcPr>
            <w:tcW w:w="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32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</w:tr>
      <w:tr>
        <w:tc>
          <w:tcPr>
            <w:tcW w:w="3090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IZVOR 11. OPĆI PRIHODI I PRIMICI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16"/>
              </w:rPr>
              <w:t>372126</w:t>
            </w:r>
          </w:p>
        </w:tc>
        <w:tc>
          <w:tcPr>
            <w:tcW w:w="226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Pomoć obiteljima i kućanstvima – mjere za pomoć pri rješavanju stambenog pitanja – adaptacija stambenog prostora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32.000,00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850" w:type="dxa"/>
            <w:gridSpan w:val="5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32.000,00</w:t>
            </w:r>
          </w:p>
        </w:tc>
        <w:tc>
          <w:tcPr>
            <w:tcW w:w="2013" w:type="dxa"/>
            <w:gridSpan w:val="7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16"/>
              </w:rPr>
              <w:t>32.000,00</w:t>
            </w:r>
          </w:p>
        </w:tc>
      </w:tr>
      <w:tr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2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Financijska sredstva iz članka 2. Socijalnog programa Općine Hum na Sutli za 2025. godinu osiguravaju se u Proračunu Općine Hum na Sutli za 2025. godinu. Sredstva su osigurana u Programu 1010 – Socijalna zaštita u razdjelu 001. Opće javne usluge. 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Članak 4.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Kriteriji i način ostvarivanja prava iz ovog Programa propisani su posebnom Odlukom.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Točka 5.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ab/>
        <w:t xml:space="preserve">Program će se objaviti u «Službenom glasniku Krapinsko-zagorske županije» i stupa na snagu 1. siječnja 2025. godine.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 </w:t>
      </w:r>
    </w:p>
    <w:p>
      <w:pPr>
        <w:jc w:val="both"/>
        <w:spacing w:lineRule="auto" w:line="240" w:beforeAutospacing="0" w:afterAutospacing="0"/>
        <w:ind w:firstLine="708" w:left="382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b w:val="1"/>
          <w:sz w:val="20"/>
        </w:rPr>
        <w:t xml:space="preserve">PREDSJEDNIK 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ab/>
        <w:t xml:space="preserve">   </w:t>
        <w:tab/>
        <w:tab/>
        <w:tab/>
        <w:tab/>
        <w:tab/>
        <w:t xml:space="preserve">     Mario Antonić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0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2024-12-23T08:20:29Z</dcterms:created>
  <dcterms:modified xsi:type="dcterms:W3CDTF">2024-12-23T08:20:29Z</dcterms:modified>
</cp:coreProperties>
</file>